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C40" w:rsidRPr="0092105E" w:rsidRDefault="00C14C40" w:rsidP="00C14C40">
      <w:pPr>
        <w:jc w:val="both"/>
        <w:rPr>
          <w:b/>
          <w:color w:val="00284A"/>
          <w:sz w:val="32"/>
          <w:szCs w:val="32"/>
          <w:lang w:val="en-AU"/>
        </w:rPr>
      </w:pPr>
      <w:bookmarkStart w:id="0" w:name="_GoBack"/>
      <w:bookmarkEnd w:id="0"/>
      <w:r w:rsidRPr="0092105E">
        <w:rPr>
          <w:b/>
          <w:color w:val="00284A"/>
          <w:sz w:val="32"/>
          <w:szCs w:val="32"/>
          <w:lang w:val="en-AU"/>
        </w:rPr>
        <w:t>WHS003 WHS Objectives and Targets</w:t>
      </w:r>
    </w:p>
    <w:p w:rsidR="00C14C40" w:rsidRPr="0092105E" w:rsidRDefault="00C14C40" w:rsidP="00C14C40">
      <w:pPr>
        <w:jc w:val="both"/>
        <w:rPr>
          <w:i/>
          <w:color w:val="FF0000"/>
          <w:sz w:val="20"/>
          <w:szCs w:val="20"/>
          <w:lang w:val="en-AU"/>
        </w:rPr>
      </w:pPr>
    </w:p>
    <w:p w:rsidR="00C14C40" w:rsidRPr="0092105E" w:rsidRDefault="00C14C40" w:rsidP="00C14C40">
      <w:pPr>
        <w:jc w:val="both"/>
        <w:rPr>
          <w:rFonts w:cs="Arial"/>
          <w:i/>
          <w:color w:val="FF0000"/>
          <w:sz w:val="20"/>
          <w:szCs w:val="20"/>
          <w:lang w:val="en-AU"/>
        </w:rPr>
      </w:pPr>
      <w:r w:rsidRPr="0092105E">
        <w:rPr>
          <w:rFonts w:cs="Arial"/>
          <w:i/>
          <w:color w:val="FF0000"/>
          <w:sz w:val="20"/>
          <w:szCs w:val="20"/>
          <w:lang w:val="en-AU"/>
        </w:rPr>
        <w:t xml:space="preserve">References: </w:t>
      </w:r>
    </w:p>
    <w:p w:rsidR="00C14C40" w:rsidRPr="0092105E" w:rsidRDefault="00C14C40" w:rsidP="00C14C40">
      <w:pPr>
        <w:numPr>
          <w:ilvl w:val="0"/>
          <w:numId w:val="1"/>
        </w:numPr>
        <w:jc w:val="both"/>
        <w:rPr>
          <w:rFonts w:cs="Arial"/>
          <w:i/>
          <w:color w:val="FF0000"/>
          <w:sz w:val="20"/>
          <w:szCs w:val="20"/>
          <w:lang w:val="en-AU"/>
        </w:rPr>
      </w:pPr>
      <w:r w:rsidRPr="0092105E">
        <w:rPr>
          <w:rFonts w:cs="Arial"/>
          <w:i/>
          <w:color w:val="FF0000"/>
          <w:sz w:val="20"/>
          <w:szCs w:val="20"/>
          <w:lang w:val="en-AU"/>
        </w:rPr>
        <w:t>AS/NZ4801:2001 OHS Safety Management Systems</w:t>
      </w:r>
    </w:p>
    <w:p w:rsidR="00C14C40" w:rsidRPr="0092105E" w:rsidRDefault="00C14C40" w:rsidP="00C14C40">
      <w:pPr>
        <w:jc w:val="both"/>
        <w:rPr>
          <w:color w:val="FF0000"/>
          <w:sz w:val="20"/>
          <w:szCs w:val="20"/>
          <w:lang w:val="en-AU"/>
        </w:rPr>
      </w:pPr>
    </w:p>
    <w:p w:rsidR="00C14C40" w:rsidRPr="0092105E" w:rsidRDefault="00C14C40" w:rsidP="00C14C40">
      <w:pPr>
        <w:jc w:val="both"/>
        <w:rPr>
          <w:b/>
          <w:color w:val="auto"/>
          <w:sz w:val="20"/>
          <w:szCs w:val="20"/>
          <w:lang w:val="en-AU"/>
        </w:rPr>
      </w:pPr>
      <w:r w:rsidRPr="0092105E">
        <w:rPr>
          <w:b/>
          <w:sz w:val="20"/>
          <w:szCs w:val="20"/>
          <w:lang w:val="en-AU"/>
        </w:rPr>
        <w:t>P</w:t>
      </w:r>
      <w:r w:rsidRPr="0092105E">
        <w:rPr>
          <w:b/>
          <w:color w:val="auto"/>
          <w:sz w:val="20"/>
          <w:szCs w:val="20"/>
          <w:lang w:val="en-AU"/>
        </w:rPr>
        <w:t>urpose</w:t>
      </w:r>
    </w:p>
    <w:p w:rsidR="00C14C40" w:rsidRPr="0092105E" w:rsidRDefault="00C14C40" w:rsidP="00624FB7">
      <w:pPr>
        <w:rPr>
          <w:color w:val="auto"/>
          <w:sz w:val="20"/>
          <w:szCs w:val="20"/>
          <w:lang w:val="en-AU"/>
        </w:rPr>
      </w:pPr>
      <w:r w:rsidRPr="0092105E">
        <w:rPr>
          <w:color w:val="auto"/>
          <w:sz w:val="20"/>
          <w:szCs w:val="20"/>
          <w:lang w:val="en-AU"/>
        </w:rPr>
        <w:t>The purpose of this section is to set measurable objectives and targets for the workplace to help the Centre comply with its WHS obligations that allocate responsibilities and provides indicators to measure performance. For individuals these objectives should be adjusted and incorporated into position descriptions.</w:t>
      </w:r>
    </w:p>
    <w:p w:rsidR="00C14C40" w:rsidRPr="0092105E" w:rsidRDefault="00C14C40" w:rsidP="00624FB7">
      <w:pPr>
        <w:rPr>
          <w:color w:val="auto"/>
          <w:sz w:val="20"/>
          <w:szCs w:val="20"/>
          <w:lang w:val="en-AU"/>
        </w:rPr>
      </w:pPr>
    </w:p>
    <w:p w:rsidR="00C14C40" w:rsidRPr="0092105E" w:rsidRDefault="00C14C40" w:rsidP="00624FB7">
      <w:pPr>
        <w:rPr>
          <w:b/>
          <w:color w:val="auto"/>
          <w:sz w:val="20"/>
          <w:szCs w:val="20"/>
          <w:lang w:val="en-AU"/>
        </w:rPr>
      </w:pPr>
      <w:r w:rsidRPr="0092105E">
        <w:rPr>
          <w:b/>
          <w:color w:val="auto"/>
          <w:sz w:val="20"/>
          <w:szCs w:val="20"/>
          <w:lang w:val="en-AU"/>
        </w:rPr>
        <w:t xml:space="preserve">Scope </w:t>
      </w:r>
    </w:p>
    <w:p w:rsidR="00C14C40" w:rsidRPr="0092105E" w:rsidRDefault="00C14C40" w:rsidP="00624FB7">
      <w:pPr>
        <w:rPr>
          <w:color w:val="auto"/>
          <w:sz w:val="20"/>
          <w:szCs w:val="20"/>
          <w:lang w:val="en-AU"/>
        </w:rPr>
      </w:pPr>
      <w:r w:rsidRPr="0092105E">
        <w:rPr>
          <w:color w:val="auto"/>
          <w:sz w:val="20"/>
          <w:szCs w:val="20"/>
          <w:lang w:val="en-AU"/>
        </w:rPr>
        <w:t xml:space="preserve">These objectives and targets apply throughout the Centre </w:t>
      </w:r>
    </w:p>
    <w:p w:rsidR="00C14C40" w:rsidRPr="0092105E" w:rsidRDefault="00C14C40" w:rsidP="00C14C40">
      <w:pPr>
        <w:jc w:val="both"/>
        <w:rPr>
          <w:sz w:val="20"/>
          <w:szCs w:val="20"/>
          <w:lang w:val="en-AU"/>
        </w:rPr>
      </w:pPr>
    </w:p>
    <w:tbl>
      <w:tblPr>
        <w:tblW w:w="5000" w:type="pct"/>
        <w:tblInd w:w="113" w:type="dxa"/>
        <w:tblBorders>
          <w:top w:val="single" w:sz="2" w:space="0" w:color="58595B"/>
          <w:left w:val="single" w:sz="2" w:space="0" w:color="58595B"/>
          <w:bottom w:val="single" w:sz="36" w:space="0" w:color="58595B"/>
          <w:right w:val="single" w:sz="2" w:space="0" w:color="58595B"/>
          <w:insideH w:val="single" w:sz="2" w:space="0" w:color="58595B"/>
          <w:insideV w:val="single" w:sz="2" w:space="0" w:color="58595B"/>
        </w:tblBorders>
        <w:tblLook w:val="01E0" w:firstRow="1" w:lastRow="1" w:firstColumn="1" w:lastColumn="1" w:noHBand="0" w:noVBand="0"/>
      </w:tblPr>
      <w:tblGrid>
        <w:gridCol w:w="1691"/>
        <w:gridCol w:w="2063"/>
        <w:gridCol w:w="1830"/>
        <w:gridCol w:w="1830"/>
        <w:gridCol w:w="1828"/>
      </w:tblGrid>
      <w:tr w:rsidR="00C14C40" w:rsidRPr="0092105E" w:rsidTr="00574453">
        <w:trPr>
          <w:cantSplit/>
          <w:trHeight w:val="463"/>
        </w:trPr>
        <w:tc>
          <w:tcPr>
            <w:tcW w:w="915" w:type="pct"/>
            <w:tcBorders>
              <w:top w:val="single" w:sz="2" w:space="0" w:color="58595B"/>
            </w:tcBorders>
            <w:shd w:val="clear" w:color="auto" w:fill="99CCFF"/>
          </w:tcPr>
          <w:p w:rsidR="00C14C40" w:rsidRPr="0092105E" w:rsidRDefault="00C14C40" w:rsidP="0025064B">
            <w:pPr>
              <w:jc w:val="both"/>
              <w:rPr>
                <w:b/>
                <w:bCs/>
                <w:color w:val="auto"/>
                <w:sz w:val="20"/>
                <w:szCs w:val="20"/>
                <w:lang w:val="en-AU"/>
              </w:rPr>
            </w:pPr>
            <w:r w:rsidRPr="0092105E">
              <w:rPr>
                <w:b/>
                <w:bCs/>
                <w:color w:val="auto"/>
                <w:sz w:val="20"/>
                <w:szCs w:val="20"/>
                <w:lang w:val="en-AU"/>
              </w:rPr>
              <w:t xml:space="preserve">Objective </w:t>
            </w:r>
            <w:r w:rsidRPr="0092105E">
              <w:rPr>
                <w:b/>
                <w:bCs/>
                <w:color w:val="auto"/>
                <w:sz w:val="20"/>
                <w:szCs w:val="20"/>
                <w:lang w:val="en-AU"/>
              </w:rPr>
              <w:tab/>
            </w:r>
          </w:p>
        </w:tc>
        <w:tc>
          <w:tcPr>
            <w:tcW w:w="1116" w:type="pct"/>
            <w:tcBorders>
              <w:top w:val="single" w:sz="2" w:space="0" w:color="58595B"/>
            </w:tcBorders>
            <w:shd w:val="clear" w:color="auto" w:fill="99CCFF"/>
          </w:tcPr>
          <w:p w:rsidR="00C14C40" w:rsidRPr="0092105E" w:rsidRDefault="00C14C40" w:rsidP="0025064B">
            <w:pPr>
              <w:jc w:val="both"/>
              <w:rPr>
                <w:b/>
                <w:bCs/>
                <w:color w:val="auto"/>
                <w:sz w:val="20"/>
                <w:szCs w:val="20"/>
                <w:lang w:val="en-AU"/>
              </w:rPr>
            </w:pPr>
            <w:r w:rsidRPr="0092105E">
              <w:rPr>
                <w:b/>
                <w:bCs/>
                <w:color w:val="auto"/>
                <w:sz w:val="20"/>
                <w:szCs w:val="20"/>
                <w:lang w:val="en-AU"/>
              </w:rPr>
              <w:t>Target</w:t>
            </w:r>
          </w:p>
        </w:tc>
        <w:tc>
          <w:tcPr>
            <w:tcW w:w="990" w:type="pct"/>
            <w:tcBorders>
              <w:top w:val="single" w:sz="2" w:space="0" w:color="58595B"/>
            </w:tcBorders>
            <w:shd w:val="clear" w:color="auto" w:fill="99CCFF"/>
          </w:tcPr>
          <w:p w:rsidR="00C14C40" w:rsidRPr="0092105E" w:rsidRDefault="00C14C40" w:rsidP="0025064B">
            <w:pPr>
              <w:jc w:val="both"/>
              <w:rPr>
                <w:b/>
                <w:bCs/>
                <w:color w:val="auto"/>
                <w:sz w:val="20"/>
                <w:szCs w:val="20"/>
                <w:lang w:val="en-AU"/>
              </w:rPr>
            </w:pPr>
            <w:r w:rsidRPr="0092105E">
              <w:rPr>
                <w:b/>
                <w:bCs/>
                <w:color w:val="auto"/>
                <w:sz w:val="20"/>
                <w:szCs w:val="20"/>
                <w:lang w:val="en-AU"/>
              </w:rPr>
              <w:t>Indicator / Evidence</w:t>
            </w:r>
          </w:p>
        </w:tc>
        <w:tc>
          <w:tcPr>
            <w:tcW w:w="990" w:type="pct"/>
            <w:tcBorders>
              <w:top w:val="single" w:sz="2" w:space="0" w:color="58595B"/>
            </w:tcBorders>
            <w:shd w:val="clear" w:color="auto" w:fill="99CCFF"/>
          </w:tcPr>
          <w:p w:rsidR="00C14C40" w:rsidRPr="0092105E" w:rsidRDefault="00C14C40" w:rsidP="0025064B">
            <w:pPr>
              <w:jc w:val="both"/>
              <w:rPr>
                <w:b/>
                <w:bCs/>
                <w:color w:val="auto"/>
                <w:sz w:val="20"/>
                <w:szCs w:val="20"/>
                <w:lang w:val="en-AU"/>
              </w:rPr>
            </w:pPr>
            <w:r w:rsidRPr="0092105E">
              <w:rPr>
                <w:b/>
                <w:bCs/>
                <w:color w:val="auto"/>
                <w:sz w:val="20"/>
                <w:szCs w:val="20"/>
                <w:lang w:val="en-AU"/>
              </w:rPr>
              <w:t xml:space="preserve">Responsibility </w:t>
            </w:r>
          </w:p>
        </w:tc>
        <w:tc>
          <w:tcPr>
            <w:tcW w:w="990" w:type="pct"/>
            <w:tcBorders>
              <w:top w:val="single" w:sz="2" w:space="0" w:color="58595B"/>
            </w:tcBorders>
            <w:shd w:val="clear" w:color="auto" w:fill="99CCFF"/>
          </w:tcPr>
          <w:p w:rsidR="00C14C40" w:rsidRPr="0092105E" w:rsidRDefault="00C14C40" w:rsidP="0025064B">
            <w:pPr>
              <w:jc w:val="both"/>
              <w:rPr>
                <w:b/>
                <w:bCs/>
                <w:color w:val="auto"/>
                <w:sz w:val="20"/>
                <w:szCs w:val="20"/>
                <w:lang w:val="en-AU"/>
              </w:rPr>
            </w:pPr>
            <w:r w:rsidRPr="0092105E">
              <w:rPr>
                <w:b/>
                <w:bCs/>
                <w:color w:val="auto"/>
                <w:sz w:val="20"/>
                <w:szCs w:val="20"/>
                <w:lang w:val="en-AU"/>
              </w:rPr>
              <w:t>Date for Completion</w:t>
            </w:r>
          </w:p>
        </w:tc>
      </w:tr>
      <w:tr w:rsidR="00C14C40" w:rsidRPr="0092105E" w:rsidTr="00574453">
        <w:trPr>
          <w:cantSplit/>
          <w:trHeight w:val="2110"/>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t>All staff know their WHS responsibilities, conduct themselves in a safe and responsible manner</w:t>
            </w:r>
          </w:p>
          <w:p w:rsidR="00C14C40" w:rsidRPr="0092105E" w:rsidRDefault="00C14C40" w:rsidP="00F559E6">
            <w:pPr>
              <w:rPr>
                <w:bCs/>
                <w:color w:val="auto"/>
                <w:sz w:val="20"/>
                <w:szCs w:val="20"/>
                <w:lang w:val="en-AU"/>
              </w:rPr>
            </w:pPr>
          </w:p>
        </w:tc>
        <w:tc>
          <w:tcPr>
            <w:tcW w:w="1116"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Staff are familiar with, and operate in accordance with the Policy and Procedures Manual and their job descriptions </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WHS Self Audit </w:t>
            </w:r>
            <w:r w:rsidR="001B1DAC" w:rsidRPr="0092105E">
              <w:rPr>
                <w:color w:val="auto"/>
                <w:sz w:val="20"/>
                <w:szCs w:val="20"/>
                <w:lang w:val="en-AU"/>
              </w:rPr>
              <w:t>semi-annually</w:t>
            </w:r>
            <w:r w:rsidRPr="0092105E">
              <w:rPr>
                <w:color w:val="auto"/>
                <w:sz w:val="20"/>
                <w:szCs w:val="20"/>
                <w:lang w:val="en-AU"/>
              </w:rPr>
              <w:t xml:space="preserve"> to confirm the WHS System is fully implemented.</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Management to implement and maintain WHSMS. Staff to assist and cooperate.</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Ongoing. WHS Self Audit semi annually</w:t>
            </w:r>
          </w:p>
          <w:p w:rsidR="00C14C40" w:rsidRPr="0092105E" w:rsidRDefault="00C14C40" w:rsidP="00F559E6">
            <w:pPr>
              <w:rPr>
                <w:bCs/>
                <w:color w:val="auto"/>
                <w:sz w:val="20"/>
                <w:szCs w:val="20"/>
                <w:lang w:val="en-AU"/>
              </w:rPr>
            </w:pPr>
            <w:r w:rsidRPr="0092105E">
              <w:rPr>
                <w:bCs/>
                <w:color w:val="auto"/>
                <w:sz w:val="20"/>
                <w:szCs w:val="20"/>
                <w:lang w:val="en-AU"/>
              </w:rPr>
              <w:t>Staff performance reviews annually</w:t>
            </w:r>
          </w:p>
          <w:p w:rsidR="00C14C40" w:rsidRPr="0092105E" w:rsidRDefault="00C14C40" w:rsidP="00F559E6">
            <w:pPr>
              <w:rPr>
                <w:bCs/>
                <w:color w:val="auto"/>
                <w:sz w:val="20"/>
                <w:szCs w:val="20"/>
                <w:lang w:val="en-AU"/>
              </w:rPr>
            </w:pPr>
          </w:p>
        </w:tc>
      </w:tr>
      <w:tr w:rsidR="00C14C40" w:rsidRPr="0092105E" w:rsidTr="00574453">
        <w:trPr>
          <w:cantSplit/>
          <w:trHeight w:val="1630"/>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t>WHS–related training is a priority issue, training needs are identified and met</w:t>
            </w:r>
          </w:p>
        </w:tc>
        <w:tc>
          <w:tcPr>
            <w:tcW w:w="1116"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All staff trained in accordance with requirements of their position descriptions.</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Training needs and requirements are known, training is conducted, and training records are accurate. </w:t>
            </w:r>
          </w:p>
          <w:p w:rsidR="00C14C40" w:rsidRPr="0092105E" w:rsidRDefault="00C14C40" w:rsidP="00F559E6">
            <w:pPr>
              <w:rPr>
                <w:color w:val="auto"/>
                <w:sz w:val="20"/>
                <w:szCs w:val="20"/>
                <w:lang w:val="en-AU"/>
              </w:rPr>
            </w:pP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Management to assess needs, provide training and ensure its implementation Staff to attend training and apply. </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 xml:space="preserve">Ongoing. WHS Self Audit semi annually </w:t>
            </w:r>
          </w:p>
          <w:p w:rsidR="00C14C40" w:rsidRPr="0092105E" w:rsidRDefault="00C14C40" w:rsidP="00F559E6">
            <w:pPr>
              <w:rPr>
                <w:bCs/>
                <w:color w:val="auto"/>
                <w:sz w:val="20"/>
                <w:szCs w:val="20"/>
                <w:lang w:val="en-AU"/>
              </w:rPr>
            </w:pPr>
            <w:r w:rsidRPr="0092105E">
              <w:rPr>
                <w:bCs/>
                <w:color w:val="auto"/>
                <w:sz w:val="20"/>
                <w:szCs w:val="20"/>
                <w:lang w:val="en-AU"/>
              </w:rPr>
              <w:t>On expiry of individual staff qualifications.</w:t>
            </w:r>
          </w:p>
          <w:p w:rsidR="00C14C40" w:rsidRPr="0092105E" w:rsidRDefault="00C14C40" w:rsidP="00F559E6">
            <w:pPr>
              <w:rPr>
                <w:bCs/>
                <w:color w:val="auto"/>
                <w:sz w:val="20"/>
                <w:szCs w:val="20"/>
                <w:lang w:val="en-AU"/>
              </w:rPr>
            </w:pPr>
          </w:p>
        </w:tc>
      </w:tr>
      <w:tr w:rsidR="00C14C40" w:rsidRPr="0092105E" w:rsidTr="00574453">
        <w:trPr>
          <w:cantSplit/>
          <w:trHeight w:val="1646"/>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t>Minimise incident frequency and severity occurring to staff and others.</w:t>
            </w:r>
          </w:p>
        </w:tc>
        <w:tc>
          <w:tcPr>
            <w:tcW w:w="1116"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Nil incidents. </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Where incidents occur RTW procedures are followed and investigations undertaken</w:t>
            </w:r>
          </w:p>
          <w:p w:rsidR="00C14C40" w:rsidRPr="0092105E" w:rsidRDefault="00C14C40" w:rsidP="00F559E6">
            <w:pPr>
              <w:rPr>
                <w:color w:val="auto"/>
                <w:sz w:val="20"/>
                <w:szCs w:val="20"/>
                <w:lang w:val="en-AU"/>
              </w:rPr>
            </w:pP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Management to maintain WHSMS plan and respond quickly to Hazard reports.</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Ongoing. WHS Self Audit semi annually</w:t>
            </w:r>
          </w:p>
        </w:tc>
      </w:tr>
      <w:tr w:rsidR="00C14C40" w:rsidRPr="0092105E" w:rsidTr="00574453">
        <w:trPr>
          <w:cantSplit/>
          <w:trHeight w:val="1630"/>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t>Contractor management  processes in place and implemented</w:t>
            </w:r>
          </w:p>
        </w:tc>
        <w:tc>
          <w:tcPr>
            <w:tcW w:w="1116"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Contractors provide confirmation of insurances; safe work statements Contractors receive site induction.</w:t>
            </w:r>
          </w:p>
          <w:p w:rsidR="00C14C40" w:rsidRPr="0092105E" w:rsidRDefault="00C14C40" w:rsidP="00F559E6">
            <w:pPr>
              <w:rPr>
                <w:color w:val="auto"/>
                <w:sz w:val="20"/>
                <w:szCs w:val="20"/>
                <w:lang w:val="en-AU"/>
              </w:rPr>
            </w:pP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Documents recorded and regularly updated induction and training records where relevant.</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Management to establish management procedures  and ensure implementation </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 xml:space="preserve">Ongoing. WHS Self audit semi annually </w:t>
            </w:r>
          </w:p>
          <w:p w:rsidR="00C14C40" w:rsidRPr="0092105E" w:rsidRDefault="00C14C40" w:rsidP="00F559E6">
            <w:pPr>
              <w:rPr>
                <w:bCs/>
                <w:color w:val="auto"/>
                <w:sz w:val="20"/>
                <w:szCs w:val="20"/>
                <w:lang w:val="en-AU"/>
              </w:rPr>
            </w:pPr>
            <w:r w:rsidRPr="0092105E">
              <w:rPr>
                <w:bCs/>
                <w:color w:val="auto"/>
                <w:sz w:val="20"/>
                <w:szCs w:val="20"/>
                <w:lang w:val="en-AU"/>
              </w:rPr>
              <w:t xml:space="preserve">Certificates of currency annually </w:t>
            </w:r>
          </w:p>
          <w:p w:rsidR="00C14C40" w:rsidRPr="0092105E" w:rsidRDefault="00C14C40" w:rsidP="00F559E6">
            <w:pPr>
              <w:rPr>
                <w:bCs/>
                <w:color w:val="auto"/>
                <w:sz w:val="20"/>
                <w:szCs w:val="20"/>
                <w:lang w:val="en-AU"/>
              </w:rPr>
            </w:pPr>
          </w:p>
        </w:tc>
      </w:tr>
      <w:tr w:rsidR="00C14C40" w:rsidRPr="0092105E" w:rsidTr="00574453">
        <w:trPr>
          <w:cantSplit/>
          <w:trHeight w:val="1630"/>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t>Maintain workplace WHS Management System in a current practical format</w:t>
            </w:r>
          </w:p>
          <w:p w:rsidR="00C14C40" w:rsidRPr="0092105E" w:rsidRDefault="00C14C40" w:rsidP="00F559E6">
            <w:pPr>
              <w:rPr>
                <w:bCs/>
                <w:color w:val="auto"/>
                <w:sz w:val="20"/>
                <w:szCs w:val="20"/>
                <w:lang w:val="en-AU"/>
              </w:rPr>
            </w:pPr>
          </w:p>
        </w:tc>
        <w:tc>
          <w:tcPr>
            <w:tcW w:w="1116"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Current WHSMS implementation </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 xml:space="preserve">Regular workplace inspections, risk assessments, staff trained, internal audits , current documentation </w:t>
            </w:r>
          </w:p>
        </w:tc>
        <w:tc>
          <w:tcPr>
            <w:tcW w:w="990" w:type="pct"/>
            <w:shd w:val="clear" w:color="auto" w:fill="auto"/>
            <w:vAlign w:val="center"/>
          </w:tcPr>
          <w:p w:rsidR="00C14C40" w:rsidRPr="0092105E" w:rsidRDefault="00C14C40" w:rsidP="00F559E6">
            <w:pPr>
              <w:rPr>
                <w:color w:val="auto"/>
                <w:sz w:val="20"/>
                <w:szCs w:val="20"/>
                <w:lang w:val="en-AU"/>
              </w:rPr>
            </w:pPr>
            <w:r w:rsidRPr="0092105E">
              <w:rPr>
                <w:color w:val="auto"/>
                <w:sz w:val="20"/>
                <w:szCs w:val="20"/>
                <w:lang w:val="en-AU"/>
              </w:rPr>
              <w:t>Management to review regularly and decide on action in consultation with staff</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WHS Self Audit semi annually</w:t>
            </w:r>
          </w:p>
          <w:p w:rsidR="00C14C40" w:rsidRPr="0092105E" w:rsidRDefault="00C14C40" w:rsidP="00F559E6">
            <w:pPr>
              <w:rPr>
                <w:bCs/>
                <w:color w:val="auto"/>
                <w:sz w:val="20"/>
                <w:szCs w:val="20"/>
                <w:lang w:val="en-AU"/>
              </w:rPr>
            </w:pPr>
          </w:p>
        </w:tc>
      </w:tr>
      <w:tr w:rsidR="00C14C40" w:rsidRPr="0092105E" w:rsidTr="00574453">
        <w:trPr>
          <w:cantSplit/>
          <w:trHeight w:val="1630"/>
        </w:trPr>
        <w:tc>
          <w:tcPr>
            <w:tcW w:w="915" w:type="pct"/>
            <w:shd w:val="clear" w:color="auto" w:fill="E6E6E6"/>
            <w:vAlign w:val="center"/>
          </w:tcPr>
          <w:p w:rsidR="00C14C40" w:rsidRPr="0092105E" w:rsidRDefault="00C14C40" w:rsidP="00F559E6">
            <w:pPr>
              <w:rPr>
                <w:bCs/>
                <w:color w:val="auto"/>
                <w:sz w:val="20"/>
                <w:szCs w:val="20"/>
                <w:lang w:val="en-AU"/>
              </w:rPr>
            </w:pPr>
            <w:r w:rsidRPr="0092105E">
              <w:rPr>
                <w:bCs/>
                <w:color w:val="auto"/>
                <w:sz w:val="20"/>
                <w:szCs w:val="20"/>
                <w:lang w:val="en-AU"/>
              </w:rPr>
              <w:lastRenderedPageBreak/>
              <w:t>Workplace inspections are undertaken and all items identified are rectified</w:t>
            </w:r>
          </w:p>
          <w:p w:rsidR="00C14C40" w:rsidRPr="0092105E" w:rsidRDefault="00C14C40" w:rsidP="00F559E6">
            <w:pPr>
              <w:rPr>
                <w:bCs/>
                <w:color w:val="auto"/>
                <w:sz w:val="20"/>
                <w:szCs w:val="20"/>
                <w:lang w:val="en-AU"/>
              </w:rPr>
            </w:pPr>
          </w:p>
        </w:tc>
        <w:tc>
          <w:tcPr>
            <w:tcW w:w="1116"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Inspections monthly</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Documented records</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Management to review regularly and decide on action in consultation with staff</w:t>
            </w:r>
          </w:p>
        </w:tc>
        <w:tc>
          <w:tcPr>
            <w:tcW w:w="990" w:type="pct"/>
            <w:shd w:val="clear" w:color="auto" w:fill="auto"/>
            <w:vAlign w:val="center"/>
          </w:tcPr>
          <w:p w:rsidR="00C14C40" w:rsidRPr="0092105E" w:rsidRDefault="00C14C40" w:rsidP="00F559E6">
            <w:pPr>
              <w:rPr>
                <w:bCs/>
                <w:color w:val="auto"/>
                <w:sz w:val="20"/>
                <w:szCs w:val="20"/>
                <w:lang w:val="en-AU"/>
              </w:rPr>
            </w:pPr>
            <w:r w:rsidRPr="0092105E">
              <w:rPr>
                <w:bCs/>
                <w:color w:val="auto"/>
                <w:sz w:val="20"/>
                <w:szCs w:val="20"/>
                <w:lang w:val="en-AU"/>
              </w:rPr>
              <w:t>Ongoing –monthly minimum</w:t>
            </w:r>
          </w:p>
        </w:tc>
      </w:tr>
    </w:tbl>
    <w:p w:rsidR="00C14C40" w:rsidRPr="0092105E" w:rsidRDefault="00C14C40" w:rsidP="00C14C40">
      <w:pPr>
        <w:tabs>
          <w:tab w:val="right" w:pos="10345"/>
        </w:tabs>
        <w:spacing w:before="60"/>
        <w:rPr>
          <w:rFonts w:ascii="Century Gothic" w:hAnsi="Century Gothic"/>
          <w:color w:val="auto"/>
          <w:sz w:val="15"/>
          <w:szCs w:val="15"/>
          <w:lang w:val="en-AU"/>
        </w:rPr>
      </w:pPr>
    </w:p>
    <w:p w:rsidR="00C14C40" w:rsidRPr="0092105E" w:rsidRDefault="00C14C40" w:rsidP="00C14C40">
      <w:pPr>
        <w:tabs>
          <w:tab w:val="right" w:pos="10345"/>
        </w:tabs>
        <w:spacing w:before="60"/>
        <w:rPr>
          <w:rFonts w:ascii="Century Gothic" w:hAnsi="Century Gothic"/>
          <w:color w:val="auto"/>
          <w:sz w:val="15"/>
          <w:szCs w:val="15"/>
          <w:lang w:val="en-AU"/>
        </w:rPr>
      </w:pPr>
    </w:p>
    <w:p w:rsidR="00C14C40" w:rsidRPr="0092105E" w:rsidRDefault="00C14C40" w:rsidP="00C14C40">
      <w:pPr>
        <w:tabs>
          <w:tab w:val="right" w:pos="10345"/>
        </w:tabs>
        <w:spacing w:before="60"/>
        <w:rPr>
          <w:rFonts w:ascii="Century Gothic" w:hAnsi="Century Gothic"/>
          <w:color w:val="auto"/>
          <w:sz w:val="15"/>
          <w:szCs w:val="15"/>
          <w:lang w:val="en-AU"/>
        </w:rPr>
      </w:pPr>
    </w:p>
    <w:p w:rsidR="00C14C40" w:rsidRPr="0092105E" w:rsidRDefault="00C14C40" w:rsidP="00C14C40">
      <w:pPr>
        <w:tabs>
          <w:tab w:val="right" w:pos="10345"/>
        </w:tabs>
        <w:spacing w:before="60"/>
        <w:rPr>
          <w:rFonts w:ascii="Century Gothic" w:hAnsi="Century Gothic"/>
          <w:color w:val="auto"/>
          <w:sz w:val="15"/>
          <w:szCs w:val="15"/>
          <w:lang w:val="en-AU"/>
        </w:rPr>
      </w:pPr>
    </w:p>
    <w:p w:rsidR="00C14C40" w:rsidRPr="0092105E" w:rsidRDefault="00C14C40" w:rsidP="00C14C40">
      <w:pPr>
        <w:tabs>
          <w:tab w:val="right" w:pos="10345"/>
        </w:tabs>
        <w:spacing w:before="60"/>
        <w:rPr>
          <w:rFonts w:ascii="Century Gothic" w:hAnsi="Century Gothic"/>
          <w:color w:val="auto"/>
          <w:sz w:val="15"/>
          <w:szCs w:val="15"/>
          <w:lang w:val="en-AU"/>
        </w:rPr>
      </w:pPr>
    </w:p>
    <w:sectPr w:rsidR="00C14C40" w:rsidRPr="0092105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53" w:rsidRDefault="00574453" w:rsidP="00574453">
      <w:r>
        <w:separator/>
      </w:r>
    </w:p>
  </w:endnote>
  <w:endnote w:type="continuationSeparator" w:id="0">
    <w:p w:rsidR="00574453" w:rsidRDefault="00574453" w:rsidP="00574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453" w:rsidRPr="006320BD" w:rsidRDefault="00574453" w:rsidP="00574453">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rsidR="00574453" w:rsidRPr="00574453" w:rsidRDefault="00574453" w:rsidP="00574453">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GELSafe</w:t>
      </w:r>
      <w:r w:rsidRPr="00B6761F">
        <w:rPr>
          <w:rStyle w:val="Hyperlink"/>
          <w:sz w:val="15"/>
          <w:szCs w:val="15"/>
        </w:rPr>
        <w:t>.com.au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53" w:rsidRDefault="00574453" w:rsidP="00574453">
      <w:r>
        <w:separator/>
      </w:r>
    </w:p>
  </w:footnote>
  <w:footnote w:type="continuationSeparator" w:id="0">
    <w:p w:rsidR="00574453" w:rsidRDefault="00574453" w:rsidP="005744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E39"/>
    <w:multiLevelType w:val="hybridMultilevel"/>
    <w:tmpl w:val="403EDF84"/>
    <w:lvl w:ilvl="0" w:tplc="D4AEB4AA">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40"/>
    <w:rsid w:val="000C3C4B"/>
    <w:rsid w:val="000F2C4F"/>
    <w:rsid w:val="001B0F10"/>
    <w:rsid w:val="001B1DAC"/>
    <w:rsid w:val="001E08FE"/>
    <w:rsid w:val="00240AC4"/>
    <w:rsid w:val="00277A16"/>
    <w:rsid w:val="00283F25"/>
    <w:rsid w:val="002A6A1B"/>
    <w:rsid w:val="002D70E4"/>
    <w:rsid w:val="002F4522"/>
    <w:rsid w:val="0030189C"/>
    <w:rsid w:val="00340FDD"/>
    <w:rsid w:val="003704FC"/>
    <w:rsid w:val="003B4C17"/>
    <w:rsid w:val="003B5D92"/>
    <w:rsid w:val="003C4862"/>
    <w:rsid w:val="00417479"/>
    <w:rsid w:val="004672F4"/>
    <w:rsid w:val="0048740B"/>
    <w:rsid w:val="004B077C"/>
    <w:rsid w:val="004E5593"/>
    <w:rsid w:val="005605D9"/>
    <w:rsid w:val="00574453"/>
    <w:rsid w:val="005B5543"/>
    <w:rsid w:val="005E5042"/>
    <w:rsid w:val="00615D4F"/>
    <w:rsid w:val="00622E1D"/>
    <w:rsid w:val="00624FB7"/>
    <w:rsid w:val="0066165F"/>
    <w:rsid w:val="006709E8"/>
    <w:rsid w:val="00684196"/>
    <w:rsid w:val="00696B0E"/>
    <w:rsid w:val="006B6B09"/>
    <w:rsid w:val="006F0FB6"/>
    <w:rsid w:val="007008BD"/>
    <w:rsid w:val="00793FF2"/>
    <w:rsid w:val="007C2C79"/>
    <w:rsid w:val="00804DE3"/>
    <w:rsid w:val="00810F61"/>
    <w:rsid w:val="00877FC2"/>
    <w:rsid w:val="008D2810"/>
    <w:rsid w:val="008E5342"/>
    <w:rsid w:val="0092105E"/>
    <w:rsid w:val="0096586D"/>
    <w:rsid w:val="00987C7D"/>
    <w:rsid w:val="009D06DD"/>
    <w:rsid w:val="009F2783"/>
    <w:rsid w:val="009F480C"/>
    <w:rsid w:val="00A057D6"/>
    <w:rsid w:val="00A838FF"/>
    <w:rsid w:val="00A86C48"/>
    <w:rsid w:val="00AD7767"/>
    <w:rsid w:val="00B20FFD"/>
    <w:rsid w:val="00B43F58"/>
    <w:rsid w:val="00B53BDB"/>
    <w:rsid w:val="00B62263"/>
    <w:rsid w:val="00B76786"/>
    <w:rsid w:val="00BB7E53"/>
    <w:rsid w:val="00C14C40"/>
    <w:rsid w:val="00C77C86"/>
    <w:rsid w:val="00CA4692"/>
    <w:rsid w:val="00CF207D"/>
    <w:rsid w:val="00D54BAE"/>
    <w:rsid w:val="00D64378"/>
    <w:rsid w:val="00D65DC4"/>
    <w:rsid w:val="00D74BC2"/>
    <w:rsid w:val="00DA78D8"/>
    <w:rsid w:val="00E24071"/>
    <w:rsid w:val="00E34C84"/>
    <w:rsid w:val="00E36557"/>
    <w:rsid w:val="00E5300C"/>
    <w:rsid w:val="00E751F9"/>
    <w:rsid w:val="00EA3FAF"/>
    <w:rsid w:val="00EF16B8"/>
    <w:rsid w:val="00EF66DB"/>
    <w:rsid w:val="00F0436C"/>
    <w:rsid w:val="00F1105E"/>
    <w:rsid w:val="00F2629D"/>
    <w:rsid w:val="00F3093F"/>
    <w:rsid w:val="00F3360B"/>
    <w:rsid w:val="00F37C1D"/>
    <w:rsid w:val="00F559E6"/>
    <w:rsid w:val="00F83616"/>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0"/>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53"/>
    <w:pPr>
      <w:tabs>
        <w:tab w:val="center" w:pos="4513"/>
        <w:tab w:val="right" w:pos="9026"/>
      </w:tabs>
    </w:pPr>
  </w:style>
  <w:style w:type="character" w:customStyle="1" w:styleId="HeaderChar">
    <w:name w:val="Header Char"/>
    <w:basedOn w:val="DefaultParagraphFont"/>
    <w:link w:val="Header"/>
    <w:uiPriority w:val="99"/>
    <w:rsid w:val="00574453"/>
    <w:rPr>
      <w:rFonts w:ascii="Arial" w:eastAsia="Times New Roman" w:hAnsi="Arial" w:cs="Times New Roman"/>
      <w:color w:val="58595B"/>
      <w:szCs w:val="24"/>
      <w:lang w:val="en-US"/>
    </w:rPr>
  </w:style>
  <w:style w:type="paragraph" w:styleId="Footer">
    <w:name w:val="footer"/>
    <w:basedOn w:val="Normal"/>
    <w:link w:val="FooterChar"/>
    <w:uiPriority w:val="99"/>
    <w:unhideWhenUsed/>
    <w:rsid w:val="00574453"/>
    <w:pPr>
      <w:tabs>
        <w:tab w:val="center" w:pos="4513"/>
        <w:tab w:val="right" w:pos="9026"/>
      </w:tabs>
    </w:pPr>
  </w:style>
  <w:style w:type="character" w:customStyle="1" w:styleId="FooterChar">
    <w:name w:val="Footer Char"/>
    <w:basedOn w:val="DefaultParagraphFont"/>
    <w:link w:val="Footer"/>
    <w:uiPriority w:val="99"/>
    <w:rsid w:val="00574453"/>
    <w:rPr>
      <w:rFonts w:ascii="Arial" w:eastAsia="Times New Roman" w:hAnsi="Arial" w:cs="Times New Roman"/>
      <w:color w:val="58595B"/>
      <w:szCs w:val="24"/>
      <w:lang w:val="en-US"/>
    </w:rPr>
  </w:style>
  <w:style w:type="character" w:styleId="Hyperlink">
    <w:name w:val="Hyperlink"/>
    <w:rsid w:val="005744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C40"/>
    <w:pPr>
      <w:spacing w:after="0" w:line="240" w:lineRule="auto"/>
    </w:pPr>
    <w:rPr>
      <w:rFonts w:ascii="Arial" w:eastAsia="Times New Roman" w:hAnsi="Arial" w:cs="Times New Roman"/>
      <w:color w:val="58595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453"/>
    <w:pPr>
      <w:tabs>
        <w:tab w:val="center" w:pos="4513"/>
        <w:tab w:val="right" w:pos="9026"/>
      </w:tabs>
    </w:pPr>
  </w:style>
  <w:style w:type="character" w:customStyle="1" w:styleId="HeaderChar">
    <w:name w:val="Header Char"/>
    <w:basedOn w:val="DefaultParagraphFont"/>
    <w:link w:val="Header"/>
    <w:uiPriority w:val="99"/>
    <w:rsid w:val="00574453"/>
    <w:rPr>
      <w:rFonts w:ascii="Arial" w:eastAsia="Times New Roman" w:hAnsi="Arial" w:cs="Times New Roman"/>
      <w:color w:val="58595B"/>
      <w:szCs w:val="24"/>
      <w:lang w:val="en-US"/>
    </w:rPr>
  </w:style>
  <w:style w:type="paragraph" w:styleId="Footer">
    <w:name w:val="footer"/>
    <w:basedOn w:val="Normal"/>
    <w:link w:val="FooterChar"/>
    <w:uiPriority w:val="99"/>
    <w:unhideWhenUsed/>
    <w:rsid w:val="00574453"/>
    <w:pPr>
      <w:tabs>
        <w:tab w:val="center" w:pos="4513"/>
        <w:tab w:val="right" w:pos="9026"/>
      </w:tabs>
    </w:pPr>
  </w:style>
  <w:style w:type="character" w:customStyle="1" w:styleId="FooterChar">
    <w:name w:val="Footer Char"/>
    <w:basedOn w:val="DefaultParagraphFont"/>
    <w:link w:val="Footer"/>
    <w:uiPriority w:val="99"/>
    <w:rsid w:val="00574453"/>
    <w:rPr>
      <w:rFonts w:ascii="Arial" w:eastAsia="Times New Roman" w:hAnsi="Arial" w:cs="Times New Roman"/>
      <w:color w:val="58595B"/>
      <w:szCs w:val="24"/>
      <w:lang w:val="en-US"/>
    </w:rPr>
  </w:style>
  <w:style w:type="character" w:styleId="Hyperlink">
    <w:name w:val="Hyperlink"/>
    <w:rsid w:val="005744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LMT</cp:lastModifiedBy>
  <cp:revision>2</cp:revision>
  <dcterms:created xsi:type="dcterms:W3CDTF">2018-02-21T22:33:00Z</dcterms:created>
  <dcterms:modified xsi:type="dcterms:W3CDTF">2018-02-21T22:33:00Z</dcterms:modified>
</cp:coreProperties>
</file>